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1B54" w14:textId="481A127A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F1017">
        <w:rPr>
          <w:rFonts w:ascii="Times New Roman" w:hAnsi="Times New Roman" w:cs="Times New Roman"/>
          <w:b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b/>
          <w:sz w:val="28"/>
          <w:szCs w:val="28"/>
        </w:rPr>
        <w:t>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5DCBD717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77777777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385AF8" w14:textId="355098CF" w:rsidR="00850FA0" w:rsidRPr="00850FA0" w:rsidRDefault="00850FA0" w:rsidP="00850FA0">
      <w:pPr>
        <w:jc w:val="right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5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206A24D" w14:textId="3F4CA095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>ов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2F1017">
        <w:rPr>
          <w:rFonts w:ascii="Times New Roman" w:hAnsi="Times New Roman" w:cs="Times New Roman"/>
          <w:sz w:val="28"/>
          <w:szCs w:val="28"/>
        </w:rPr>
        <w:t>20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1017">
        <w:rPr>
          <w:rFonts w:ascii="Times New Roman" w:hAnsi="Times New Roman" w:cs="Times New Roman"/>
          <w:sz w:val="28"/>
          <w:szCs w:val="28"/>
        </w:rPr>
        <w:t xml:space="preserve">36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1D777D">
        <w:rPr>
          <w:rFonts w:ascii="Times New Roman" w:hAnsi="Times New Roman" w:cs="Times New Roman"/>
          <w:sz w:val="28"/>
          <w:szCs w:val="28"/>
        </w:rPr>
        <w:t xml:space="preserve"> </w:t>
      </w:r>
      <w:r w:rsidR="001D777D" w:rsidRPr="001D777D">
        <w:rPr>
          <w:rFonts w:ascii="Times New Roman" w:hAnsi="Times New Roman" w:cs="Times New Roman"/>
          <w:sz w:val="28"/>
          <w:szCs w:val="28"/>
        </w:rPr>
        <w:t>(в ред. от 12.05.2023 г. № 115)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CCEE6A" w14:textId="4C5363E2" w:rsidR="00DE0755" w:rsidRDefault="00850FA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>четные данные формы 5-МН за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14.07.2023г</w:t>
      </w:r>
      <w:r w:rsidRPr="00862AC6">
        <w:rPr>
          <w:rFonts w:ascii="Times New Roman" w:hAnsi="Times New Roman" w:cs="Times New Roman"/>
          <w:sz w:val="28"/>
          <w:szCs w:val="28"/>
        </w:rPr>
        <w:t>.</w:t>
      </w:r>
      <w:r w:rsidR="00DE0755">
        <w:rPr>
          <w:rFonts w:ascii="Times New Roman" w:hAnsi="Times New Roman" w:cs="Times New Roman"/>
          <w:sz w:val="28"/>
          <w:szCs w:val="28"/>
        </w:rPr>
        <w:t xml:space="preserve"> №11-10/12624;</w:t>
      </w:r>
      <w:r w:rsidR="00E07360">
        <w:rPr>
          <w:rFonts w:ascii="Times New Roman" w:hAnsi="Times New Roman" w:cs="Times New Roman"/>
          <w:sz w:val="28"/>
          <w:szCs w:val="28"/>
        </w:rPr>
        <w:t xml:space="preserve"> </w:t>
      </w:r>
      <w:r w:rsidR="00DE0755">
        <w:rPr>
          <w:rFonts w:ascii="Times New Roman" w:hAnsi="Times New Roman" w:cs="Times New Roman"/>
          <w:sz w:val="28"/>
          <w:szCs w:val="28"/>
        </w:rPr>
        <w:t>от 01.08.2023г.</w:t>
      </w:r>
      <w:r w:rsidR="00D444CF">
        <w:rPr>
          <w:rFonts w:ascii="Times New Roman" w:hAnsi="Times New Roman" w:cs="Times New Roman"/>
          <w:sz w:val="28"/>
          <w:szCs w:val="28"/>
        </w:rPr>
        <w:t xml:space="preserve"> №11-10/13749.</w:t>
      </w:r>
    </w:p>
    <w:p w14:paraId="54F2C208" w14:textId="77777777" w:rsidR="00E07360" w:rsidRPr="00862AC6" w:rsidRDefault="00E0736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681864D9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>ответственной согласно</w:t>
      </w:r>
      <w:r w:rsidR="00A62E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12043C">
        <w:rPr>
          <w:rFonts w:ascii="Times New Roman" w:hAnsi="Times New Roman" w:cs="Times New Roman"/>
          <w:iCs/>
          <w:sz w:val="28"/>
          <w:szCs w:val="28"/>
        </w:rPr>
        <w:t>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03F5BA7E" w14:textId="77777777" w:rsidR="002F1017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>Объем налоговых расходов в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скому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>поселению по уплате</w:t>
      </w:r>
      <w:r w:rsidR="002F1017">
        <w:rPr>
          <w:rFonts w:ascii="Times New Roman" w:hAnsi="Times New Roman" w:cs="Times New Roman"/>
          <w:sz w:val="28"/>
          <w:szCs w:val="28"/>
        </w:rPr>
        <w:t>:</w:t>
      </w:r>
    </w:p>
    <w:p w14:paraId="143B541F" w14:textId="41BDBC2E" w:rsidR="00850FA0" w:rsidRDefault="002F1017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>по категори</w:t>
      </w:r>
      <w:r w:rsidR="005C085B">
        <w:rPr>
          <w:rFonts w:ascii="Times New Roman" w:hAnsi="Times New Roman" w:cs="Times New Roman"/>
          <w:sz w:val="28"/>
          <w:szCs w:val="28"/>
        </w:rPr>
        <w:t>ям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5C085B">
        <w:rPr>
          <w:rFonts w:ascii="Times New Roman" w:hAnsi="Times New Roman" w:cs="Times New Roman"/>
          <w:sz w:val="28"/>
          <w:szCs w:val="28"/>
        </w:rPr>
        <w:t>: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</w:t>
      </w:r>
      <w:r w:rsidR="005C085B">
        <w:rPr>
          <w:rFonts w:ascii="Times New Roman" w:hAnsi="Times New Roman" w:cs="Times New Roman"/>
          <w:sz w:val="28"/>
          <w:szCs w:val="28"/>
        </w:rPr>
        <w:t xml:space="preserve"> </w:t>
      </w:r>
      <w:r w:rsidR="005C085B" w:rsidRPr="000C2E48">
        <w:rPr>
          <w:rFonts w:ascii="Times New Roman" w:hAnsi="Times New Roman" w:cs="Times New Roman"/>
          <w:sz w:val="28"/>
          <w:szCs w:val="28"/>
        </w:rPr>
        <w:t xml:space="preserve">физические лица, члены семьи (супруги, несовершеннолетние дети) лиц, участвующих в специальной военной операции при предоставлении заявления, </w:t>
      </w:r>
      <w:r w:rsidR="005C085B" w:rsidRPr="000C2E48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5C085B">
        <w:rPr>
          <w:rFonts w:ascii="Times New Roman" w:hAnsi="Times New Roman" w:cs="Times New Roman"/>
          <w:sz w:val="28"/>
          <w:szCs w:val="28"/>
        </w:rPr>
        <w:t xml:space="preserve">,  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A35B69">
        <w:rPr>
          <w:rFonts w:ascii="Times New Roman" w:hAnsi="Times New Roman" w:cs="Times New Roman"/>
          <w:sz w:val="28"/>
          <w:szCs w:val="28"/>
        </w:rPr>
        <w:t>0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35E5F21" w14:textId="5446C067" w:rsidR="002F1017" w:rsidRDefault="002F1017" w:rsidP="002F101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 категориям </w:t>
      </w:r>
      <w:r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>
        <w:rPr>
          <w:rFonts w:ascii="Times New Roman" w:hAnsi="Times New Roman" w:cs="Times New Roman"/>
          <w:sz w:val="28"/>
          <w:szCs w:val="28"/>
        </w:rPr>
        <w:t>ов:</w:t>
      </w:r>
      <w:r w:rsidRPr="0092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,   в сумме  0,2</w:t>
      </w:r>
      <w:r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Их доля в объеме налоговых и неналоговых доходов бюджета Писаревского сельского поселения в отчетном году составила </w:t>
      </w:r>
      <w:r w:rsidRPr="002B3F0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3F0F">
        <w:rPr>
          <w:rFonts w:ascii="Times New Roman" w:hAnsi="Times New Roman" w:cs="Times New Roman"/>
          <w:sz w:val="28"/>
          <w:szCs w:val="28"/>
        </w:rPr>
        <w:t>0</w:t>
      </w:r>
      <w:r w:rsidR="00787CAB">
        <w:rPr>
          <w:rFonts w:ascii="Times New Roman" w:hAnsi="Times New Roman" w:cs="Times New Roman"/>
          <w:sz w:val="28"/>
          <w:szCs w:val="28"/>
        </w:rPr>
        <w:t>3</w:t>
      </w:r>
      <w:r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5BD26797" w14:textId="16743D39" w:rsidR="002F1017" w:rsidRDefault="002F1017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E0B431" w14:textId="3E19324D" w:rsidR="000C2E48" w:rsidRDefault="00927903" w:rsidP="00787CA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bookmarkStart w:id="8" w:name="_Hlk162341823"/>
      <w:r w:rsidR="00787CAB" w:rsidRPr="00787CAB">
        <w:rPr>
          <w:rFonts w:ascii="Times New Roman" w:hAnsi="Times New Roman" w:cs="Times New Roman"/>
          <w:sz w:val="28"/>
          <w:szCs w:val="28"/>
        </w:rPr>
        <w:t>Думы Писаревского  сельского поселения от 27.02.2023 № 42 "О внесении изменений в Положение "О земельном налоге на территории Писаревского  муниципального образования" утвержденного решением Думы Писаревского сельского поселения от 16.11.2015 г. № 69 ( в ред. от 03.11.2016 г. № 100, от 31.07.2019 г. № 71, от 27.11.2019 г. № 79, от 23.12.2022 г. № 21)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bookmarkEnd w:id="8"/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lastRenderedPageBreak/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0AE1D523" w:rsidR="008455D8" w:rsidRDefault="00850FA0" w:rsidP="00787CAB">
      <w:pPr>
        <w:autoSpaceDE w:val="0"/>
        <w:autoSpaceDN w:val="0"/>
        <w:adjustRightInd w:val="0"/>
        <w:ind w:firstLine="851"/>
        <w:jc w:val="both"/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r w:rsidR="00787CAB" w:rsidRPr="00787CAB">
        <w:rPr>
          <w:rFonts w:ascii="Times New Roman" w:hAnsi="Times New Roman" w:cs="Times New Roman"/>
          <w:sz w:val="28"/>
          <w:szCs w:val="28"/>
        </w:rPr>
        <w:t>Думы Писаревского сельского поселения от 27.02.2023 № 43 "О внесении изменений в решение Думы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от 24.10.2017 г. № 8 «О налоге на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имущество физических лиц» (в ред.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от 31.07.2019 г. № 70, от 27.11.2019 г. № 78, от 23.11.2020 №100, от 23.12.2022 г. № 22)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152B8966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0DEB38C6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823E8A" w:rsidRPr="00823E8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0645">
        <w:rPr>
          <w:rFonts w:ascii="Times New Roman" w:hAnsi="Times New Roman" w:cs="Times New Roman"/>
          <w:sz w:val="28"/>
          <w:szCs w:val="28"/>
        </w:rPr>
        <w:t>2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1F9F599B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011AF0">
        <w:rPr>
          <w:rFonts w:ascii="Times New Roman" w:hAnsi="Times New Roman" w:cs="Times New Roman"/>
          <w:iCs/>
          <w:sz w:val="28"/>
          <w:szCs w:val="28"/>
        </w:rPr>
        <w:t>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2D76FC56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2F1017">
              <w:rPr>
                <w:rFonts w:ascii="Times New Roman" w:hAnsi="Times New Roman" w:cs="Times New Roman"/>
                <w:iCs/>
                <w:sz w:val="28"/>
                <w:szCs w:val="28"/>
              </w:rPr>
              <w:t>Писарев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242E3D5E" w:rsidR="008F3BB6" w:rsidRPr="00AF45BD" w:rsidRDefault="00A62EA5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544E5808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2D6D2E">
        <w:rPr>
          <w:rFonts w:ascii="Times New Roman" w:hAnsi="Times New Roman" w:cs="Times New Roman"/>
          <w:iCs/>
          <w:sz w:val="28"/>
          <w:szCs w:val="28"/>
        </w:rPr>
        <w:t>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</w:t>
      </w:r>
      <w:proofErr w:type="spellStart"/>
      <w:r w:rsidR="0084128E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84128E">
        <w:rPr>
          <w:rFonts w:ascii="Times New Roman" w:hAnsi="Times New Roman" w:cs="Times New Roman"/>
          <w:sz w:val="28"/>
          <w:szCs w:val="28"/>
        </w:rPr>
        <w:t>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39501E50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F03BB">
        <w:rPr>
          <w:rFonts w:ascii="Times New Roman" w:hAnsi="Times New Roman" w:cs="Times New Roman"/>
          <w:sz w:val="27"/>
          <w:szCs w:val="27"/>
        </w:rPr>
        <w:t>Днп</w:t>
      </w:r>
      <w:proofErr w:type="spellEnd"/>
      <w:r w:rsidRPr="00AF03BB">
        <w:rPr>
          <w:rFonts w:ascii="Times New Roman" w:hAnsi="Times New Roman" w:cs="Times New Roman"/>
          <w:sz w:val="27"/>
          <w:szCs w:val="27"/>
        </w:rPr>
        <w:t xml:space="preserve">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5310176F" w14:textId="57911D36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787CAB">
        <w:rPr>
          <w:rFonts w:ascii="Times New Roman" w:hAnsi="Times New Roman" w:cs="Times New Roman"/>
          <w:sz w:val="28"/>
          <w:szCs w:val="28"/>
        </w:rPr>
        <w:t>3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0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0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787CAB">
        <w:rPr>
          <w:rFonts w:ascii="Times New Roman" w:hAnsi="Times New Roman" w:cs="Times New Roman"/>
          <w:sz w:val="28"/>
          <w:szCs w:val="28"/>
        </w:rPr>
        <w:t>340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368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364</w:t>
      </w:r>
      <w:r w:rsidR="00D444CF"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356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5027A4" w:rsidRPr="005027A4">
        <w:rPr>
          <w:rFonts w:ascii="Times New Roman" w:hAnsi="Times New Roman" w:cs="Times New Roman"/>
          <w:sz w:val="27"/>
          <w:szCs w:val="27"/>
        </w:rPr>
        <w:t>0,</w:t>
      </w:r>
      <w:r w:rsidR="00267930">
        <w:rPr>
          <w:rFonts w:ascii="Times New Roman" w:hAnsi="Times New Roman" w:cs="Times New Roman"/>
          <w:sz w:val="27"/>
          <w:szCs w:val="27"/>
        </w:rPr>
        <w:t>28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65DC24A6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787CAB">
        <w:rPr>
          <w:rFonts w:ascii="Times New Roman" w:hAnsi="Times New Roman" w:cs="Times New Roman"/>
          <w:sz w:val="27"/>
          <w:szCs w:val="27"/>
        </w:rPr>
        <w:t>3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="00787CAB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87CAB">
        <w:rPr>
          <w:rFonts w:ascii="Times New Roman" w:hAnsi="Times New Roman" w:cs="Times New Roman"/>
          <w:sz w:val="27"/>
          <w:szCs w:val="27"/>
        </w:rPr>
        <w:t xml:space="preserve"> 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787CAB">
        <w:rPr>
          <w:rFonts w:ascii="Times New Roman" w:hAnsi="Times New Roman" w:cs="Times New Roman"/>
          <w:sz w:val="28"/>
          <w:szCs w:val="28"/>
        </w:rPr>
        <w:t>0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787CAB">
        <w:rPr>
          <w:rFonts w:ascii="Times New Roman" w:hAnsi="Times New Roman" w:cs="Times New Roman"/>
          <w:sz w:val="28"/>
          <w:szCs w:val="28"/>
        </w:rPr>
        <w:t>1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649C0EE8" w:rsidR="00FB050B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787CAB">
        <w:rPr>
          <w:rFonts w:ascii="Times New Roman" w:hAnsi="Times New Roman" w:cs="Times New Roman"/>
          <w:sz w:val="28"/>
          <w:szCs w:val="28"/>
        </w:rPr>
        <w:t>340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368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364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726A97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356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EFACB" w14:textId="57F0046E" w:rsidR="009745A8" w:rsidRP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A8">
        <w:rPr>
          <w:rFonts w:ascii="Times New Roman" w:hAnsi="Times New Roman" w:cs="Times New Roman"/>
          <w:b/>
          <w:bCs/>
          <w:sz w:val="28"/>
          <w:szCs w:val="28"/>
        </w:rPr>
        <w:t>Налог на имуществ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45A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 w:rsidRPr="009745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7F797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7AD23E62" w14:textId="154B7B7F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+0+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FA3103">
        <w:rPr>
          <w:rFonts w:ascii="Times New Roman" w:hAnsi="Times New Roman" w:cs="Times New Roman"/>
          <w:sz w:val="28"/>
          <w:szCs w:val="28"/>
        </w:rPr>
        <w:t>160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194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20</w:t>
      </w:r>
      <w:r w:rsidR="00F920C4">
        <w:rPr>
          <w:rFonts w:ascii="Times New Roman" w:hAnsi="Times New Roman" w:cs="Times New Roman"/>
          <w:sz w:val="28"/>
          <w:szCs w:val="28"/>
        </w:rPr>
        <w:t>3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232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 0,0</w:t>
      </w:r>
      <w:r w:rsidR="00122908">
        <w:rPr>
          <w:rFonts w:ascii="Times New Roman" w:hAnsi="Times New Roman" w:cs="Times New Roman"/>
          <w:sz w:val="27"/>
          <w:szCs w:val="27"/>
        </w:rPr>
        <w:t>8</w:t>
      </w:r>
      <w:r w:rsidRPr="005027A4">
        <w:rPr>
          <w:rFonts w:ascii="Times New Roman" w:hAnsi="Times New Roman" w:cs="Times New Roman"/>
          <w:sz w:val="27"/>
          <w:szCs w:val="27"/>
        </w:rPr>
        <w:t xml:space="preserve"> %  </w:t>
      </w:r>
    </w:p>
    <w:p w14:paraId="6EB03055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783B1B18" w14:textId="319A22C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2020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0,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2021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2022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787CAB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8B6F6B" w14:textId="3A2FD8AC" w:rsid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787CAB">
        <w:rPr>
          <w:rFonts w:ascii="Times New Roman" w:hAnsi="Times New Roman" w:cs="Times New Roman"/>
          <w:sz w:val="28"/>
          <w:szCs w:val="28"/>
        </w:rPr>
        <w:t>252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335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348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2022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386</w:t>
      </w:r>
      <w:r w:rsidRPr="005027A4">
        <w:rPr>
          <w:rFonts w:ascii="Times New Roman" w:hAnsi="Times New Roman" w:cs="Times New Roman"/>
          <w:sz w:val="28"/>
          <w:szCs w:val="28"/>
        </w:rPr>
        <w:t>.</w:t>
      </w:r>
    </w:p>
    <w:p w14:paraId="021A62B3" w14:textId="77777777" w:rsidR="00A80B26" w:rsidRDefault="009745A8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>По критериям целесообразности налоговый расход является соответствующим и востребованным цели муниципальной программы.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381367B4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A80B26">
        <w:rPr>
          <w:rFonts w:ascii="Times New Roman" w:hAnsi="Times New Roman" w:cs="Times New Roman"/>
          <w:iCs/>
          <w:sz w:val="28"/>
          <w:szCs w:val="28"/>
        </w:rPr>
        <w:t>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12DEA95D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5A6DC1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08EC5BF9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122908">
        <w:rPr>
          <w:rFonts w:ascii="Times New Roman" w:hAnsi="Times New Roman" w:cs="Times New Roman"/>
          <w:sz w:val="28"/>
          <w:szCs w:val="28"/>
        </w:rPr>
        <w:t>3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08594D" w:rsidRPr="000C2E48">
        <w:rPr>
          <w:rFonts w:ascii="Times New Roman" w:hAnsi="Times New Roman" w:cs="Times New Roman"/>
          <w:sz w:val="28"/>
          <w:szCs w:val="28"/>
        </w:rPr>
        <w:t>физически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>, член</w:t>
      </w:r>
      <w:r w:rsidR="0008594D">
        <w:rPr>
          <w:rFonts w:ascii="Times New Roman" w:hAnsi="Times New Roman" w:cs="Times New Roman"/>
          <w:sz w:val="28"/>
          <w:szCs w:val="28"/>
        </w:rPr>
        <w:t>ам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сем</w:t>
      </w:r>
      <w:r w:rsidR="0008594D">
        <w:rPr>
          <w:rFonts w:ascii="Times New Roman" w:hAnsi="Times New Roman" w:cs="Times New Roman"/>
          <w:sz w:val="28"/>
          <w:szCs w:val="28"/>
        </w:rPr>
        <w:t>ей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08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67C82214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по земельному налогу с физических лиц</w:t>
      </w:r>
      <w:r w:rsidR="00760DFA">
        <w:rPr>
          <w:rFonts w:ascii="Times New Roman" w:hAnsi="Times New Roman" w:cs="Times New Roman"/>
          <w:sz w:val="28"/>
          <w:szCs w:val="28"/>
        </w:rPr>
        <w:t xml:space="preserve">, </w:t>
      </w:r>
      <w:r w:rsidR="00760DFA" w:rsidRPr="00760DFA">
        <w:rPr>
          <w:rFonts w:ascii="Times New Roman" w:hAnsi="Times New Roman" w:cs="Times New Roman"/>
          <w:sz w:val="28"/>
          <w:szCs w:val="28"/>
        </w:rPr>
        <w:t>налогу на имущество физических лиц</w:t>
      </w:r>
      <w:r w:rsidR="00760DFA">
        <w:rPr>
          <w:rFonts w:ascii="Times New Roman" w:hAnsi="Times New Roman" w:cs="Times New Roman"/>
          <w:sz w:val="28"/>
          <w:szCs w:val="28"/>
        </w:rPr>
        <w:t>,</w:t>
      </w:r>
      <w:r w:rsidR="00760DFA" w:rsidRPr="00760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иным категориям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</w:t>
      </w:r>
      <w:r w:rsidR="00D1603D">
        <w:rPr>
          <w:rFonts w:ascii="Times New Roman" w:hAnsi="Times New Roman" w:cs="Times New Roman"/>
          <w:sz w:val="28"/>
          <w:szCs w:val="28"/>
        </w:rPr>
        <w:t>готополучателей</w:t>
      </w:r>
      <w:proofErr w:type="spellEnd"/>
      <w:r w:rsidR="00D1603D">
        <w:rPr>
          <w:rFonts w:ascii="Times New Roman" w:hAnsi="Times New Roman" w:cs="Times New Roman"/>
          <w:sz w:val="28"/>
          <w:szCs w:val="28"/>
        </w:rPr>
        <w:t xml:space="preserve"> за 2022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396283ED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1229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1229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315FF198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бюджетной эффективности для категории налоговых расходов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>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64D6E8CD" w:rsidR="003B62CA" w:rsidRDefault="00065056" w:rsidP="00760DF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BF50BD" w:rsidRPr="00BF50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>, его действие в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</w:t>
      </w:r>
      <w:r w:rsidR="00760DFA">
        <w:rPr>
          <w:rFonts w:ascii="Times New Roman" w:hAnsi="Times New Roman" w:cs="Times New Roman"/>
          <w:sz w:val="28"/>
          <w:szCs w:val="28"/>
        </w:rPr>
        <w:t>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70AAB6E3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r w:rsidR="002F1017">
        <w:rPr>
          <w:sz w:val="28"/>
          <w:szCs w:val="28"/>
        </w:rPr>
        <w:t>Писарев</w:t>
      </w:r>
      <w:r w:rsidR="00AF45BD" w:rsidRPr="00AF45BD">
        <w:rPr>
          <w:sz w:val="28"/>
          <w:szCs w:val="28"/>
        </w:rPr>
        <w:t>ского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граждан,  в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3E95C7BB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9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823E8A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0B3F4342" w14:textId="68BF6E2F" w:rsidR="00AB6695" w:rsidRDefault="00823E8A" w:rsidP="00823E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2908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122908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1504027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DF274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CF2DAC2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BBF2A0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FBB470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9F8E49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A2264B5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47E3397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2F89F65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7C69ADD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8DA7CFB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6345D82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9DF6A2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B355DEA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CC0EA7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F9DF29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E81AE42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1BF58E6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561E18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2342F41" w14:textId="77777777" w:rsidR="0008594D" w:rsidRDefault="0008594D" w:rsidP="0012290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09B2C33B" w14:textId="77777777" w:rsidR="003B62CA" w:rsidRDefault="003B62C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26E8046" w14:textId="77777777" w:rsidR="00760DFA" w:rsidRDefault="00760DF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494F6E1" w14:textId="77777777" w:rsidR="00904182" w:rsidRDefault="00904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28B0FA" w14:textId="5C549DA4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727C">
        <w:rPr>
          <w:noProof/>
        </w:rPr>
        <w:lastRenderedPageBreak/>
        <w:drawing>
          <wp:inline distT="0" distB="0" distL="0" distR="0" wp14:anchorId="48B98F86" wp14:editId="6C9DCA87">
            <wp:extent cx="6480175" cy="9385935"/>
            <wp:effectExtent l="0" t="0" r="0" b="5715"/>
            <wp:docPr id="1322503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8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4235" w14:textId="77777777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09EC7E" w14:textId="77777777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D26F70" w14:textId="77777777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3920B0BA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B0DF8A8" w14:textId="4CB1B8F6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r w:rsidR="003A727C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3A727C">
        <w:rPr>
          <w:rFonts w:ascii="Times New Roman" w:hAnsi="Times New Roman" w:cs="Times New Roman"/>
          <w:sz w:val="24"/>
          <w:szCs w:val="24"/>
        </w:rPr>
        <w:t>и</w:t>
      </w:r>
      <w:r w:rsidR="00CA488E" w:rsidRPr="005A5485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6CD576CE" w14:textId="591182D8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0" w:name="_Hlk162350636"/>
    </w:p>
    <w:p w14:paraId="62095172" w14:textId="4F35A2CB" w:rsidR="009556E4" w:rsidRPr="005A5485" w:rsidRDefault="002F1017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</w:t>
      </w:r>
      <w:r w:rsidR="009556E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bookmarkEnd w:id="10"/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19E808F7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F1017">
        <w:rPr>
          <w:rFonts w:ascii="Times New Roman" w:hAnsi="Times New Roman" w:cs="Times New Roman"/>
          <w:sz w:val="28"/>
          <w:szCs w:val="28"/>
          <w:u w:val="single"/>
        </w:rPr>
        <w:t>Писарев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263E88B" w14:textId="656D6A79" w:rsidR="0006134B" w:rsidRPr="0084051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лиц; налога на имущество физических лиц.</w:t>
      </w:r>
    </w:p>
    <w:p w14:paraId="7DDD1A99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443BD83E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D2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40515" w:rsidRPr="002D6D2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0515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7C500FCF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2F1017">
              <w:rPr>
                <w:rFonts w:ascii="Times New Roman" w:hAnsi="Times New Roman" w:cs="Times New Roman"/>
                <w:iCs/>
                <w:sz w:val="28"/>
                <w:szCs w:val="28"/>
              </w:rPr>
              <w:t>Писарев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7C742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2352258"/>
    </w:p>
    <w:bookmarkEnd w:id="11"/>
    <w:p w14:paraId="0281A9E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590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2D4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6FC72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F4F20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B2A7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8AE4E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3E47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F916D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ADC49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1C6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B2651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2BA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64464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8AECF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3F55B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58DD9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8F39E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AEF12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80DE88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A9905B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209D44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BDBC16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E3AEF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 w:rsidP="005774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126963" w14:textId="1DBB6047" w:rsidR="0006134B" w:rsidRPr="00346642" w:rsidRDefault="004301A1" w:rsidP="005774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3A727C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346642">
        <w:rPr>
          <w:rFonts w:ascii="Times New Roman" w:hAnsi="Times New Roman" w:cs="Times New Roman"/>
          <w:sz w:val="24"/>
          <w:szCs w:val="24"/>
        </w:rPr>
        <w:t>оценк</w:t>
      </w:r>
      <w:r w:rsidR="003A727C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38694249" w:rsidR="00633CF2" w:rsidRPr="00633CF2" w:rsidRDefault="00346642" w:rsidP="005774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0B50" w14:textId="522B8923" w:rsidR="0006134B" w:rsidRDefault="002F1017" w:rsidP="00577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Писарев</w:t>
      </w:r>
      <w:r w:rsidR="00633CF2" w:rsidRPr="00633CF2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23FFA700" w14:textId="77777777" w:rsidR="005A5485" w:rsidRPr="00774772" w:rsidRDefault="005A5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7F61C4B6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F1017">
        <w:rPr>
          <w:rFonts w:ascii="Times New Roman" w:hAnsi="Times New Roman" w:cs="Times New Roman"/>
          <w:sz w:val="28"/>
          <w:szCs w:val="28"/>
          <w:u w:val="single"/>
        </w:rPr>
        <w:t>Писарев</w:t>
      </w: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46E3A20F" w:rsidR="002D6D2E" w:rsidRPr="00840515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от 27.04.2024</w:t>
      </w:r>
      <w:r w:rsidR="002D6D2E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CA488E" w:rsidRPr="00AC37B0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8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560"/>
      </w:tblGrid>
      <w:tr w:rsidR="0006134B" w:rsidRPr="00AF45BD" w14:paraId="201583EF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F744ED" w14:textId="6BBC286A" w:rsidR="003218E9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 </w:t>
            </w:r>
          </w:p>
          <w:p w14:paraId="6228661F" w14:textId="42E2ACCC" w:rsidR="00661C9D" w:rsidRDefault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385A06" w14:textId="2B2CA389" w:rsidR="00D6046C" w:rsidRPr="00AF45BD" w:rsidRDefault="00D6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2"/>
      <w:tr w:rsidR="00661C9D" w:rsidRPr="00AF45BD" w14:paraId="72AD1725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4F43695" w14:textId="0D0BD96A" w:rsidR="00661C9D" w:rsidRPr="00AF45BD" w:rsidRDefault="00661C9D" w:rsidP="00661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7DEA168" w14:textId="2B4B206E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E30439" w14:textId="016AA158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084FC2" w14:textId="2597AB02" w:rsidR="00661C9D" w:rsidRDefault="005D5023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 w:rsidR="000B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25D8D8" w14:textId="77777777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CC404" w14:textId="4BEB23AB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F8965D" w14:textId="16C431CA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</w:tbl>
    <w:p w14:paraId="07789C6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5D2DBA" w14:textId="77777777" w:rsidR="00CE537E" w:rsidRPr="00774772" w:rsidRDefault="00CE537E" w:rsidP="00CE5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0E278F" w14:textId="77777777" w:rsidR="0006134B" w:rsidRDefault="0006134B"/>
    <w:sectPr w:rsidR="0006134B" w:rsidSect="00061D47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487A061C"/>
    <w:lvl w:ilvl="0" w:tplc="C25606E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062227">
    <w:abstractNumId w:val="1"/>
  </w:num>
  <w:num w:numId="2" w16cid:durableId="485318297">
    <w:abstractNumId w:val="2"/>
  </w:num>
  <w:num w:numId="3" w16cid:durableId="1752773763">
    <w:abstractNumId w:val="3"/>
  </w:num>
  <w:num w:numId="4" w16cid:durableId="2060082923">
    <w:abstractNumId w:val="4"/>
  </w:num>
  <w:num w:numId="5" w16cid:durableId="2120441551">
    <w:abstractNumId w:val="0"/>
  </w:num>
  <w:num w:numId="6" w16cid:durableId="2056157728">
    <w:abstractNumId w:val="6"/>
  </w:num>
  <w:num w:numId="7" w16cid:durableId="1436092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30846"/>
    <w:rsid w:val="000507B4"/>
    <w:rsid w:val="0006134B"/>
    <w:rsid w:val="00061D47"/>
    <w:rsid w:val="00063B6A"/>
    <w:rsid w:val="00065056"/>
    <w:rsid w:val="0007732B"/>
    <w:rsid w:val="0008111D"/>
    <w:rsid w:val="0008594D"/>
    <w:rsid w:val="0008657C"/>
    <w:rsid w:val="000A2B7B"/>
    <w:rsid w:val="000A641D"/>
    <w:rsid w:val="000B0ABF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22908"/>
    <w:rsid w:val="00141C4C"/>
    <w:rsid w:val="00143B95"/>
    <w:rsid w:val="00154249"/>
    <w:rsid w:val="00162C95"/>
    <w:rsid w:val="00163CC8"/>
    <w:rsid w:val="0017065D"/>
    <w:rsid w:val="00185128"/>
    <w:rsid w:val="001A1F4C"/>
    <w:rsid w:val="001B19A3"/>
    <w:rsid w:val="001D3419"/>
    <w:rsid w:val="001D777D"/>
    <w:rsid w:val="001E174F"/>
    <w:rsid w:val="001F5455"/>
    <w:rsid w:val="002054CA"/>
    <w:rsid w:val="00207880"/>
    <w:rsid w:val="00233F59"/>
    <w:rsid w:val="00236E99"/>
    <w:rsid w:val="002428A6"/>
    <w:rsid w:val="00243828"/>
    <w:rsid w:val="00254C9A"/>
    <w:rsid w:val="002647EB"/>
    <w:rsid w:val="00267930"/>
    <w:rsid w:val="00271A66"/>
    <w:rsid w:val="00273E47"/>
    <w:rsid w:val="002A1D52"/>
    <w:rsid w:val="002B3F0F"/>
    <w:rsid w:val="002C0A90"/>
    <w:rsid w:val="002D2E7E"/>
    <w:rsid w:val="002D6D2E"/>
    <w:rsid w:val="002D76E6"/>
    <w:rsid w:val="002E3F24"/>
    <w:rsid w:val="002F1017"/>
    <w:rsid w:val="003072BD"/>
    <w:rsid w:val="003218E9"/>
    <w:rsid w:val="00346642"/>
    <w:rsid w:val="003526DB"/>
    <w:rsid w:val="003561F8"/>
    <w:rsid w:val="003608B7"/>
    <w:rsid w:val="003A0339"/>
    <w:rsid w:val="003A727C"/>
    <w:rsid w:val="003B62CA"/>
    <w:rsid w:val="003C5C3C"/>
    <w:rsid w:val="003E54E9"/>
    <w:rsid w:val="003F6E23"/>
    <w:rsid w:val="00401CB1"/>
    <w:rsid w:val="00406196"/>
    <w:rsid w:val="00406301"/>
    <w:rsid w:val="00413E97"/>
    <w:rsid w:val="00415564"/>
    <w:rsid w:val="004236FE"/>
    <w:rsid w:val="004301A1"/>
    <w:rsid w:val="00450C1D"/>
    <w:rsid w:val="00466050"/>
    <w:rsid w:val="0048079E"/>
    <w:rsid w:val="00480A32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79"/>
    <w:rsid w:val="004F7352"/>
    <w:rsid w:val="005027A4"/>
    <w:rsid w:val="00526249"/>
    <w:rsid w:val="00533230"/>
    <w:rsid w:val="00535664"/>
    <w:rsid w:val="005461AE"/>
    <w:rsid w:val="00547965"/>
    <w:rsid w:val="0055294B"/>
    <w:rsid w:val="005532ED"/>
    <w:rsid w:val="00554443"/>
    <w:rsid w:val="00562166"/>
    <w:rsid w:val="005650BA"/>
    <w:rsid w:val="005774D7"/>
    <w:rsid w:val="005A275B"/>
    <w:rsid w:val="005A3E18"/>
    <w:rsid w:val="005A5485"/>
    <w:rsid w:val="005A6DC1"/>
    <w:rsid w:val="005B2B81"/>
    <w:rsid w:val="005B4BD1"/>
    <w:rsid w:val="005C085B"/>
    <w:rsid w:val="005D18B5"/>
    <w:rsid w:val="005D5023"/>
    <w:rsid w:val="005E271F"/>
    <w:rsid w:val="005E3F99"/>
    <w:rsid w:val="00603DB9"/>
    <w:rsid w:val="00606457"/>
    <w:rsid w:val="00633CF2"/>
    <w:rsid w:val="0063520F"/>
    <w:rsid w:val="006412D5"/>
    <w:rsid w:val="0065278E"/>
    <w:rsid w:val="00661C9D"/>
    <w:rsid w:val="0067048B"/>
    <w:rsid w:val="00671F28"/>
    <w:rsid w:val="006D3E53"/>
    <w:rsid w:val="007006D2"/>
    <w:rsid w:val="0070350E"/>
    <w:rsid w:val="00703FA5"/>
    <w:rsid w:val="00714DBF"/>
    <w:rsid w:val="00716B50"/>
    <w:rsid w:val="00726A97"/>
    <w:rsid w:val="0074120D"/>
    <w:rsid w:val="007453AB"/>
    <w:rsid w:val="00760DFA"/>
    <w:rsid w:val="00774772"/>
    <w:rsid w:val="00777ECD"/>
    <w:rsid w:val="00782A27"/>
    <w:rsid w:val="00787CAB"/>
    <w:rsid w:val="00790645"/>
    <w:rsid w:val="007B0B77"/>
    <w:rsid w:val="007C6CDC"/>
    <w:rsid w:val="007D7607"/>
    <w:rsid w:val="0081378C"/>
    <w:rsid w:val="00816E99"/>
    <w:rsid w:val="00823E8A"/>
    <w:rsid w:val="00837AD0"/>
    <w:rsid w:val="00840515"/>
    <w:rsid w:val="0084128E"/>
    <w:rsid w:val="008455D8"/>
    <w:rsid w:val="00850FA0"/>
    <w:rsid w:val="008525FF"/>
    <w:rsid w:val="00852864"/>
    <w:rsid w:val="00857D02"/>
    <w:rsid w:val="00862AC6"/>
    <w:rsid w:val="00872CDB"/>
    <w:rsid w:val="00885E77"/>
    <w:rsid w:val="008B49AC"/>
    <w:rsid w:val="008C1A30"/>
    <w:rsid w:val="008D13A8"/>
    <w:rsid w:val="008D1C32"/>
    <w:rsid w:val="008D2ADB"/>
    <w:rsid w:val="008E194F"/>
    <w:rsid w:val="008F3BB6"/>
    <w:rsid w:val="00904182"/>
    <w:rsid w:val="009277E2"/>
    <w:rsid w:val="00927903"/>
    <w:rsid w:val="00927FFE"/>
    <w:rsid w:val="0093238D"/>
    <w:rsid w:val="00942262"/>
    <w:rsid w:val="009556E4"/>
    <w:rsid w:val="009640F1"/>
    <w:rsid w:val="0097163E"/>
    <w:rsid w:val="009745A8"/>
    <w:rsid w:val="009A1C3F"/>
    <w:rsid w:val="009A401A"/>
    <w:rsid w:val="009A69CE"/>
    <w:rsid w:val="009B7790"/>
    <w:rsid w:val="009C4B11"/>
    <w:rsid w:val="009D1C30"/>
    <w:rsid w:val="009D32EF"/>
    <w:rsid w:val="009D6B8E"/>
    <w:rsid w:val="00A013E6"/>
    <w:rsid w:val="00A21FD1"/>
    <w:rsid w:val="00A35B69"/>
    <w:rsid w:val="00A62EA5"/>
    <w:rsid w:val="00A65D6C"/>
    <w:rsid w:val="00A70F99"/>
    <w:rsid w:val="00A75AA8"/>
    <w:rsid w:val="00A75CD1"/>
    <w:rsid w:val="00A80B26"/>
    <w:rsid w:val="00A93603"/>
    <w:rsid w:val="00A97323"/>
    <w:rsid w:val="00AA75AB"/>
    <w:rsid w:val="00AB6695"/>
    <w:rsid w:val="00AC37B0"/>
    <w:rsid w:val="00AF03BB"/>
    <w:rsid w:val="00AF1DA0"/>
    <w:rsid w:val="00AF45BD"/>
    <w:rsid w:val="00B30B38"/>
    <w:rsid w:val="00B43579"/>
    <w:rsid w:val="00B47CFE"/>
    <w:rsid w:val="00B546DA"/>
    <w:rsid w:val="00B6599F"/>
    <w:rsid w:val="00B716DA"/>
    <w:rsid w:val="00B71EEE"/>
    <w:rsid w:val="00B84C1D"/>
    <w:rsid w:val="00B87F62"/>
    <w:rsid w:val="00B93AF8"/>
    <w:rsid w:val="00B94127"/>
    <w:rsid w:val="00BC552C"/>
    <w:rsid w:val="00BD5ADB"/>
    <w:rsid w:val="00BE4323"/>
    <w:rsid w:val="00BF2644"/>
    <w:rsid w:val="00BF2BA3"/>
    <w:rsid w:val="00BF4BF2"/>
    <w:rsid w:val="00BF5094"/>
    <w:rsid w:val="00BF50BD"/>
    <w:rsid w:val="00C01655"/>
    <w:rsid w:val="00C32ABA"/>
    <w:rsid w:val="00C37FE4"/>
    <w:rsid w:val="00C66AB4"/>
    <w:rsid w:val="00C67137"/>
    <w:rsid w:val="00C8467B"/>
    <w:rsid w:val="00CA488E"/>
    <w:rsid w:val="00CD449F"/>
    <w:rsid w:val="00CD4A20"/>
    <w:rsid w:val="00CE07B6"/>
    <w:rsid w:val="00CE537E"/>
    <w:rsid w:val="00CE54DB"/>
    <w:rsid w:val="00CF527B"/>
    <w:rsid w:val="00D07E16"/>
    <w:rsid w:val="00D1603D"/>
    <w:rsid w:val="00D254C5"/>
    <w:rsid w:val="00D444CF"/>
    <w:rsid w:val="00D45BF4"/>
    <w:rsid w:val="00D46861"/>
    <w:rsid w:val="00D46B36"/>
    <w:rsid w:val="00D6046C"/>
    <w:rsid w:val="00D60B5C"/>
    <w:rsid w:val="00D61086"/>
    <w:rsid w:val="00D63888"/>
    <w:rsid w:val="00D745CC"/>
    <w:rsid w:val="00DC2F24"/>
    <w:rsid w:val="00DE0755"/>
    <w:rsid w:val="00DE169E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577B5"/>
    <w:rsid w:val="00E72E10"/>
    <w:rsid w:val="00E817B7"/>
    <w:rsid w:val="00E81E13"/>
    <w:rsid w:val="00E844F0"/>
    <w:rsid w:val="00EA015F"/>
    <w:rsid w:val="00EB22BA"/>
    <w:rsid w:val="00EC1951"/>
    <w:rsid w:val="00ED5027"/>
    <w:rsid w:val="00ED5BFC"/>
    <w:rsid w:val="00ED6861"/>
    <w:rsid w:val="00EE6957"/>
    <w:rsid w:val="00EF5624"/>
    <w:rsid w:val="00F011E1"/>
    <w:rsid w:val="00F174D7"/>
    <w:rsid w:val="00F37288"/>
    <w:rsid w:val="00F41EE9"/>
    <w:rsid w:val="00F424EE"/>
    <w:rsid w:val="00F571E5"/>
    <w:rsid w:val="00F90EB3"/>
    <w:rsid w:val="00F920C4"/>
    <w:rsid w:val="00F92506"/>
    <w:rsid w:val="00F961FF"/>
    <w:rsid w:val="00FA3103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AF77-3014-49B1-9729-7E18CDF4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27</cp:revision>
  <cp:lastPrinted>2024-04-24T01:30:00Z</cp:lastPrinted>
  <dcterms:created xsi:type="dcterms:W3CDTF">2024-04-23T05:41:00Z</dcterms:created>
  <dcterms:modified xsi:type="dcterms:W3CDTF">2024-05-03T08:30:00Z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