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42"/>
        <w:gridCol w:w="2512"/>
      </w:tblGrid>
      <w:tr>
        <w:trPr/>
        <w:tc>
          <w:tcPr>
            <w:tcW w:w="9354" w:type="dxa"/>
            <w:gridSpan w:val="2"/>
            <w:tcBorders/>
            <w:shd w:fill="auto" w:val="clear"/>
          </w:tcPr>
          <w:tbl>
            <w:tblPr>
              <w:tblW w:w="5000" w:type="pct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139"/>
            </w:tblGrid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b/>
                      <w:b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8"/>
                      <w:lang w:eastAsia="ru-RU"/>
                    </w:rPr>
                    <w:t>ИРКУТСКАЯ ОБЛАСТЬ</w:t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pacing w:val="20"/>
                      <w:sz w:val="28"/>
                      <w:szCs w:val="28"/>
                      <w:lang w:eastAsia="ru-RU"/>
                    </w:rPr>
                    <w:t>Тулунский район</w:t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pacing w:val="20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pacing w:val="20"/>
                      <w:sz w:val="28"/>
                      <w:szCs w:val="28"/>
                      <w:lang w:eastAsia="ru-RU"/>
                    </w:rPr>
                    <w:t>Писаревского сельского поселения</w:t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spacing w:val="20"/>
                      <w:sz w:val="28"/>
                      <w:szCs w:val="28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b/>
                      <w:b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8"/>
                      <w:lang w:eastAsia="ru-RU"/>
                    </w:rPr>
                    <w:t>П О С Т А Н О В Л Е Н И Е</w:t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spacing w:val="20"/>
                      <w:sz w:val="28"/>
                      <w:szCs w:val="28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spacing w:val="20"/>
                      <w:sz w:val="28"/>
                      <w:szCs w:val="28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rPr/>
                  </w:pPr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8"/>
                      <w:lang w:eastAsia="ru-RU"/>
                    </w:rPr>
                    <w:t xml:space="preserve">«16» ноября 2018 г.                                            </w:t>
                  </w:r>
                  <w:bookmarkStart w:id="0" w:name="_GoBack"/>
                  <w:bookmarkEnd w:id="0"/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8"/>
                      <w:lang w:eastAsia="ru-RU"/>
                    </w:rPr>
                    <w:t xml:space="preserve"> № 1</w:t>
                  </w:r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rPr>
                      <w:rFonts w:ascii="Century Schoolbook" w:hAnsi="Century Schoolbook" w:eastAsia="Times New Roman" w:cs="Times New Roman"/>
                      <w:b/>
                      <w:b/>
                      <w:spacing w:val="20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0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9139" w:type="dxa"/>
                  <w:tcBorders/>
                  <w:shd w:fill="auto" w:val="clear"/>
                </w:tcPr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b/>
                      <w:b/>
                      <w:spacing w:val="20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0"/>
                      <w:lang w:eastAsia="ru-RU"/>
                    </w:rPr>
                    <w:t>п. 4-е отделение ГСС</w:t>
                  </w:r>
                </w:p>
                <w:p>
                  <w:pPr>
                    <w:pStyle w:val="Normal"/>
                    <w:overflowPunct w:val="true"/>
                    <w:spacing w:lineRule="auto" w:line="240" w:before="0" w:after="0"/>
                    <w:ind w:right="-271" w:hanging="0"/>
                    <w:jc w:val="center"/>
                    <w:rPr>
                      <w:rFonts w:ascii="Century Schoolbook" w:hAnsi="Century Schoolbook" w:eastAsia="Times New Roman" w:cs="Times New Roman"/>
                      <w:b/>
                      <w:b/>
                      <w:spacing w:val="20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Century Schoolbook" w:hAnsi="Century Schoolbook"/>
                      <w:b/>
                      <w:spacing w:val="20"/>
                      <w:sz w:val="28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20"/>
                <w:sz w:val="28"/>
                <w:szCs w:val="20"/>
                <w:lang w:eastAsia="ru-RU"/>
              </w:rPr>
            </w:r>
          </w:p>
        </w:tc>
      </w:tr>
      <w:tr>
        <w:trPr/>
        <w:tc>
          <w:tcPr>
            <w:tcW w:w="68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 xml:space="preserve">О внесении изменений в Положение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 xml:space="preserve">о порядке принятия решений о разработке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 xml:space="preserve">муниципальных программ   сельского поселения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их формирования и реализации</w:t>
            </w: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В целях повышения эффективности в работе по формированию и реализации муниципальных программ Писаревского сельского поселения, в соответствии со </w:t>
      </w:r>
      <w:hyperlink r:id="rId2">
        <w:r>
          <w:rPr>
            <w:rStyle w:val="Style15"/>
            <w:rFonts w:eastAsia="Calibri" w:cs="Times New Roman" w:ascii="Times New Roman" w:hAnsi="Times New Roman"/>
            <w:sz w:val="28"/>
            <w:szCs w:val="28"/>
          </w:rPr>
          <w:t>статьей 179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28.06.2014 г. № 172-ФЗ «О стратегическом планировании в Российской Федерации», руководствуясь </w:t>
      </w:r>
      <w:hyperlink r:id="rId3">
        <w:r>
          <w:rPr>
            <w:rStyle w:val="Style15"/>
            <w:rFonts w:eastAsia="Calibri" w:cs="Times New Roman" w:ascii="Times New Roman" w:hAnsi="Times New Roman"/>
            <w:sz w:val="28"/>
            <w:szCs w:val="28"/>
          </w:rPr>
          <w:t>статьями 24,</w:t>
        </w:r>
      </w:hyperlink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47  Устава Писаревского муниципального образования,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 О С Т А Н О В Л Я 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/>
          <w:bCs/>
          <w:sz w:val="28"/>
          <w:szCs w:val="28"/>
        </w:rPr>
        <w:t>Внести в Положение о порядке принятия решений о разработке муниципальных программ Писаревского сельского поселения и их формирования, и реализации», утвержденное постановлением Администрации Писаревского сельского поселения от 25.12.2015г. № 93,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пункт 4 главы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I</w:t>
      </w:r>
      <w:r>
        <w:rPr>
          <w:rFonts w:eastAsia="Calibri" w:cs="Times New Roman" w:ascii="Times New Roman" w:hAnsi="Times New Roman"/>
          <w:sz w:val="28"/>
          <w:szCs w:val="28"/>
        </w:rPr>
        <w:t xml:space="preserve"> «Общие положения» Положения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«4. Муниципальная программа разрабатывается в соответствии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со Стратегией социально-экономического развития Писаревского сельского поселения на среднесрочную перспективу, задачами и функциями органов местного самоуправления Писаревского сельского поселения, планирования деятельности органов местного самоуправления Писаревского сельского поселения на период не менее 3-х лет и утверждается постановлением администрации Писаревского сельского поселения».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2) пункт 19 главы 3 изложить в новой редакции: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200"/>
        <w:ind w:firstLine="709"/>
        <w:jc w:val="both"/>
        <w:outlineLvl w:val="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«19. В процессе реализации муниципальной программы ответственный исполнитель вправе инициировать разработку изменений в муниципальную программу в следующих случаях: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перераспределения ресурсного обеспечения реализации муниципальной программы между подпрограммами, основными мероприятиями программы в пределах, утвержденных бюджетных ассигнований на текущий финансовый год;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перераспределения ресурсного обеспечения реализации муниципальной программы между участниками, исполнителями мероприятий программы в пределах утвержденных бюджетных ассигнований на текущий финансовый год;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распределение межбюджетных трансфертов бюджету Писаревского муниципального   образования постановлениями (распоряжениями) Правительства Иркутской области;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 внесения изменения в муниципальную программу в рамках подготовки проекта Решения Думы о внесении изменений в бюджет на текущий финансовый год и плановый период.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/>
        <w:jc w:val="both"/>
        <w:outlineLvl w:val="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Ответственный исполнитель координирует разработку проекта изменений в муниципальную программу, извещает соисполнителей, участников муниципальной программы о разработке проекта изменений в муниципальную программу в течении 3-х календарных дней после подготовки проекта изменений в муниципальную программу».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Опубликовать настоящее постановление в газете Писаревский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Настоящее постановление вступает в силу с момента его подписания.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Глава Писаревского сельского поселения      </w:t>
        <w:tab/>
        <w:tab/>
        <w:t xml:space="preserve">            А.Е. Самарин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 Schoolbook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f3df7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f3d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21F2C18B41842BD58B3DF986536BF4C98CADD8CFA6EE07F91BA181FD45A8091EAF0F7732B8A9807rCN6G" TargetMode="External"/><Relationship Id="rId3" Type="http://schemas.openxmlformats.org/officeDocument/2006/relationships/hyperlink" Target="consultantplus://offline/ref=821F2C18B41842BD58B3C195735AE54098C68081F06BED2DC9E5434283538AC6ADBFAE316F849B0FC5B69Ar0N2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LibreOffice/5.4.1.2$Windows_x86 LibreOffice_project/ea7cb86e6eeb2bf3a5af73a8f7777ac570321527</Application>
  <Pages>2</Pages>
  <Words>381</Words>
  <Characters>2768</Characters>
  <CharactersWithSpaces>3199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2018-11-16T02:00:00Z</dcterms:created>
  <dc:creator>Пользователь</dc:creator>
  <dc:description/>
  <dc:language>ru-RU</dc:language>
  <cp:lastModifiedBy/>
  <cp:lastPrinted>2018-11-16T02:08:00Z</cp:lastPrinted>
  <dcterms:modified xsi:type="dcterms:W3CDTF">2018-11-28T10:56:20Z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