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69" w:rsidRDefault="006C6769" w:rsidP="006C6769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ИРКУТСКАЯ ОБЛАСТЬ</w:t>
      </w:r>
    </w:p>
    <w:p w:rsidR="006C6769" w:rsidRDefault="006C6769" w:rsidP="006C6769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ТУЛУНСКИЙ РАЙОН</w:t>
      </w:r>
    </w:p>
    <w:p w:rsidR="006C6769" w:rsidRDefault="006C6769" w:rsidP="006C6769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ДУМА ПИСАРЕВСКОГО СЕЛЬСКОГО ПОСЕЛЕНИЯ</w:t>
      </w:r>
    </w:p>
    <w:p w:rsidR="006C6769" w:rsidRDefault="006C6769" w:rsidP="006C6769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6C6769" w:rsidRDefault="006C6769" w:rsidP="006C6769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РЕШЕНИЕ</w:t>
      </w:r>
    </w:p>
    <w:p w:rsidR="006C6769" w:rsidRDefault="006C6769" w:rsidP="006C6769"/>
    <w:p w:rsidR="006C6769" w:rsidRDefault="006C6769" w:rsidP="006C6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«12» апреля 2022 г.                                                                 №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143</w:t>
      </w:r>
    </w:p>
    <w:p w:rsidR="006C6769" w:rsidRDefault="006C6769" w:rsidP="006C6769">
      <w:pPr>
        <w:jc w:val="center"/>
        <w:rPr>
          <w:sz w:val="28"/>
          <w:szCs w:val="28"/>
        </w:rPr>
      </w:pPr>
      <w:r>
        <w:rPr>
          <w:sz w:val="28"/>
          <w:szCs w:val="28"/>
        </w:rPr>
        <w:t>п. 4-е отделение ГСС</w:t>
      </w:r>
    </w:p>
    <w:p w:rsidR="006C6769" w:rsidRDefault="006C6769" w:rsidP="006C6769">
      <w:pPr>
        <w:jc w:val="center"/>
        <w:rPr>
          <w:sz w:val="28"/>
          <w:szCs w:val="28"/>
        </w:rPr>
      </w:pPr>
    </w:p>
    <w:p w:rsidR="006C6769" w:rsidRDefault="006C6769" w:rsidP="006C6769">
      <w:pPr>
        <w:pStyle w:val="ConsPlusTitle"/>
        <w:spacing w:line="228" w:lineRule="auto"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О внесении изменении о муниципальном земельном контроле в Писаревском сельском поселении,  утвержденной решением думы Писаревского сельского поселения Муниципального образования «Тулунский район» Иркутской области от 29.10.2021 № 123</w:t>
      </w:r>
    </w:p>
    <w:p w:rsidR="006C6769" w:rsidRDefault="006C6769" w:rsidP="006C6769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>
        <w:rPr>
          <w:bCs/>
          <w:kern w:val="2"/>
          <w:sz w:val="28"/>
          <w:szCs w:val="28"/>
        </w:rPr>
        <w:t xml:space="preserve">руководствуясь статьями 6, 6.1, 33, 48 Устава </w:t>
      </w:r>
      <w:r>
        <w:rPr>
          <w:kern w:val="2"/>
          <w:sz w:val="28"/>
          <w:szCs w:val="28"/>
        </w:rPr>
        <w:t>Писаревского муниципального образования, Дума Писаревского сельского поселения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РЕШИЛА: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1. Внести в Положение о муниципальном земельном контроле в Писаревском сельском поселении, утвержденное решением Думы Писаревского сельского поселения муниципального образования «Тулунский район» Иркутской области от 29.10.2021 № 123 (далее – Положение) следующие изменения: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1.1. Пункт 6.2. раздела 6 Положения изложить в новой редакции: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«6.2. Для муниципального земельного контроля устанавливаются следующие ключевые показатели вида контроля и их целевые значения: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1) Доля устраненных нарушений из числа выявленных нарушений обязательных требований - 70%.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2) Доля выполнения плана проведения плановых контрольных мероприятий на очередной календарный год - 100%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3) 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4) Доля отмененных результатов контрольных мероприятий - 0%.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5) 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lastRenderedPageBreak/>
        <w:t>6) Доля вынесенных судебных решений о назначении административного наказания по материалам контрольного органа - 95%.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7) 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постановлений, вынесенных контрольным органом, за исключением постановлений, отмененных на основании статей 2.7 и 2.9 Кодекса Российской Федерации об административных правонарушениях - 0%.»;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1.2. Раздел 6 Положения дополнить пунктом 6.3. следующего содержания: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«6.3. Для муниципального земельного контроля устанавливаются следующие индикативные показатели: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1) количество плановых контрольных мероприятий, проведенных за отчетный период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2) количество внеплановых контрольных мероприятий, проведенных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3)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4) общее количество контрольных мероприятий с взаимодействием, проведенных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5) количество контрольных мероприятий с взаимодействием по каждому виду контрольных мероприятий, проведенных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6)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7) количество предостережений о недопустимости нарушения обязательных требований, объявленных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8)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9) 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10) сумма административных штрафов, наложенных по результатам контрольных мероприятий,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13) общее количество учтенных объектов контроля на конец отчетного периода;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14)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lastRenderedPageBreak/>
        <w:t xml:space="preserve">15) количество учтенных контролируемых лиц на конец отчетного периода;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16) количество учтенных контролируемых лиц, в отношении которых проведены контрольные мероприятия,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17) общее количество жалоб, поданных контролируемыми лицами в досудебном порядке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18) количество жалоб, в отношении которых контрольным органом был нарушен срок рассмотрения, за отчетный период;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19)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органов недействительными, за отчетный период;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21)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22)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период.».</w:t>
      </w:r>
    </w:p>
    <w:p w:rsidR="006C6769" w:rsidRDefault="006C6769" w:rsidP="006C676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2. Настоящее решение </w:t>
      </w:r>
      <w:r>
        <w:rPr>
          <w:kern w:val="2"/>
          <w:sz w:val="28"/>
          <w:szCs w:val="28"/>
        </w:rPr>
        <w:t>вступает в силу после дня его опубликования.</w:t>
      </w:r>
    </w:p>
    <w:p w:rsidR="006C6769" w:rsidRDefault="006C6769" w:rsidP="006C6769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«Писаревский вестник» и разместить на официальном сайте Писаревского сельского поселения в информационно-телекоммуникационной сети «Интернет».</w:t>
      </w:r>
    </w:p>
    <w:p w:rsidR="006C6769" w:rsidRDefault="006C6769" w:rsidP="006C6769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6C6769" w:rsidRDefault="006C6769" w:rsidP="006C6769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C6769" w:rsidRDefault="006C6769" w:rsidP="006C6769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Писаревского </w:t>
      </w:r>
    </w:p>
    <w:p w:rsidR="006C6769" w:rsidRDefault="006C6769" w:rsidP="006C6769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                                   Самарин А.Е.</w:t>
      </w:r>
    </w:p>
    <w:p w:rsidR="004F2882" w:rsidRDefault="004F2882">
      <w:bookmarkStart w:id="0" w:name="_GoBack"/>
      <w:bookmarkEnd w:id="0"/>
    </w:p>
    <w:sectPr w:rsidR="004F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4F2882"/>
    <w:rsid w:val="006C6769"/>
    <w:rsid w:val="00C9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1358A-4289-4FCE-9A45-61EE7392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C6769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6C676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6C67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1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2022-05-10T06:07:00Z</dcterms:created>
  <dcterms:modified xsi:type="dcterms:W3CDTF">2022-05-10T06:07:00Z</dcterms:modified>
</cp:coreProperties>
</file>