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AD5102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AD5102">
        <w:rPr>
          <w:rFonts w:ascii="Times New Roman" w:hAnsi="Times New Roman" w:cs="Times New Roman"/>
          <w:b/>
          <w:bCs/>
          <w:spacing w:val="20"/>
          <w:sz w:val="28"/>
          <w:szCs w:val="28"/>
        </w:rPr>
        <w:t>сентября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753B6A">
        <w:rPr>
          <w:rFonts w:ascii="Times New Roman" w:hAnsi="Times New Roman" w:cs="Times New Roman"/>
          <w:b/>
          <w:spacing w:val="20"/>
          <w:sz w:val="28"/>
          <w:szCs w:val="28"/>
        </w:rPr>
        <w:t>2</w:t>
      </w:r>
      <w:r w:rsidR="00AD5102">
        <w:rPr>
          <w:rFonts w:ascii="Times New Roman" w:hAnsi="Times New Roman" w:cs="Times New Roman"/>
          <w:b/>
          <w:spacing w:val="20"/>
          <w:sz w:val="28"/>
          <w:szCs w:val="28"/>
        </w:rPr>
        <w:t>20</w:t>
      </w:r>
      <w:r w:rsidR="00753B6A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</w:t>
      </w:r>
      <w:r w:rsidRPr="009274B2">
        <w:rPr>
          <w:rFonts w:ascii="Times New Roman" w:hAnsi="Times New Roman"/>
          <w:sz w:val="28"/>
          <w:szCs w:val="28"/>
        </w:rPr>
        <w:lastRenderedPageBreak/>
        <w:t>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115 076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34 902,5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102 132,5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25 777,1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2 667,1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CD55C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63 114,7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14 076,0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59 964,3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13 070,9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CD55C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710E9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9C7424" w:rsidRPr="00A84247" w:rsidTr="00753B6A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C0713">
              <w:rPr>
                <w:rFonts w:ascii="Times New Roman" w:hAnsi="Times New Roman" w:cs="Times New Roman"/>
                <w:sz w:val="24"/>
                <w:szCs w:val="24"/>
              </w:rPr>
              <w:t>971,1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625,1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C0713">
              <w:rPr>
                <w:rFonts w:ascii="Times New Roman" w:hAnsi="Times New Roman" w:cs="Times New Roman"/>
                <w:sz w:val="24"/>
                <w:szCs w:val="24"/>
              </w:rPr>
              <w:t>389,1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0713">
              <w:rPr>
                <w:rFonts w:ascii="Times New Roman" w:eastAsia="Calibri" w:hAnsi="Times New Roman" w:cs="Times New Roman"/>
                <w:sz w:val="24"/>
                <w:szCs w:val="24"/>
              </w:rPr>
              <w:t>43,1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2028 год – 100,0 тыс. руб.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C7424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9C7424" w:rsidRPr="00A84247" w:rsidRDefault="009C7424" w:rsidP="00753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6E6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46E6">
        <w:rPr>
          <w:rFonts w:ascii="Times New Roman" w:hAnsi="Times New Roman" w:cs="Times New Roman"/>
          <w:sz w:val="28"/>
          <w:szCs w:val="28"/>
        </w:rPr>
        <w:t xml:space="preserve">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29428,5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13 241,4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25 806,5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8 619,4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370ABD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710E94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370A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905E3" w:rsidRDefault="002905E3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34"/>
        <w:gridCol w:w="1976"/>
        <w:gridCol w:w="1199"/>
        <w:gridCol w:w="1275"/>
        <w:gridCol w:w="1276"/>
        <w:gridCol w:w="1276"/>
        <w:gridCol w:w="1353"/>
        <w:gridCol w:w="1418"/>
      </w:tblGrid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7" w:type="dxa"/>
            <w:gridSpan w:val="6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25 777,1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F60605" w:rsidRPr="00F60605" w:rsidTr="00BC4367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F60605" w:rsidRPr="00F60605" w:rsidTr="00BC4367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F60605" w:rsidRPr="00F60605" w:rsidTr="00BC4367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60605" w:rsidRPr="00F60605" w:rsidTr="00BC4367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13 857,8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62 896,5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59 746,1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37 214,1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34 063,7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60605" w:rsidRPr="00F60605" w:rsidTr="00BC4367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F60605" w:rsidRPr="00F60605" w:rsidTr="00BC4367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60605" w:rsidRPr="00F60605" w:rsidTr="00BC4367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84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60605" w:rsidRPr="00F60605" w:rsidTr="00BC4367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 в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управлении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20 600,8</w:t>
            </w:r>
          </w:p>
        </w:tc>
      </w:tr>
      <w:tr w:rsidR="00F60605" w:rsidRPr="00F60605" w:rsidTr="00BC4367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16 011,7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750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F60605" w:rsidRPr="00F60605" w:rsidTr="00BC4367">
        <w:trPr>
          <w:trHeight w:val="75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обеспечения жителей поселения услугами связи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989,0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F60605" w:rsidRPr="00F60605" w:rsidTr="00BC4367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13 441,7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29 628,8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25 006,8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24 071,3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культуры, организация библиотечного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обслуживания;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23 542,8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F60605" w:rsidRPr="00F60605" w:rsidTr="00BC4367">
        <w:trPr>
          <w:trHeight w:val="529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582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570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198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672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60605" w:rsidRPr="00F60605" w:rsidTr="00BC4367">
        <w:trPr>
          <w:trHeight w:val="55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досугового центра  Писаревского муниципального образования по адресу: Иркутская область, </w:t>
            </w:r>
            <w:proofErr w:type="spellStart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150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60605" w:rsidRPr="00F60605" w:rsidTr="00BC4367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60605" w:rsidRPr="00F60605" w:rsidTr="00BC4367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сельских поселений на 2024-2028гг."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60605" w:rsidRPr="00F60605" w:rsidTr="00BC4367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63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15"/>
        </w:trPr>
        <w:tc>
          <w:tcPr>
            <w:tcW w:w="2694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57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1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46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обстановки»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60605" w:rsidRPr="00F60605" w:rsidTr="00BC4367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F60605" w:rsidRPr="00F60605" w:rsidRDefault="00F60605" w:rsidP="00F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60605" w:rsidRPr="00F60605" w:rsidRDefault="00F60605" w:rsidP="00F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0CC7" w:rsidRDefault="00150CC7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34"/>
        <w:gridCol w:w="1976"/>
        <w:gridCol w:w="1199"/>
        <w:gridCol w:w="1275"/>
        <w:gridCol w:w="1276"/>
        <w:gridCol w:w="1276"/>
        <w:gridCol w:w="1353"/>
        <w:gridCol w:w="1418"/>
      </w:tblGrid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7" w:type="dxa"/>
            <w:gridSpan w:val="6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34 902,5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115 076,0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территории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(далее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МБ)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25 777,1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102 132,5</w:t>
            </w:r>
          </w:p>
        </w:tc>
      </w:tr>
      <w:tr w:rsidR="00BC4367" w:rsidRPr="00F60605" w:rsidTr="000870E9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BC4367" w:rsidRPr="00F60605" w:rsidTr="000870E9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BC4367" w:rsidRPr="00F60605" w:rsidTr="000870E9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C4367" w:rsidRPr="00F60605" w:rsidTr="000870E9">
        <w:trPr>
          <w:trHeight w:val="112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ИИ) - при наличии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13 857,8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62 896,5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12 852,7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59 746,1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8 370,2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37 214,1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34 063,7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C4367" w:rsidRPr="00F60605" w:rsidTr="000870E9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BC4367" w:rsidRPr="00F60605" w:rsidTr="000870E9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C4367" w:rsidRPr="00F60605" w:rsidTr="000870E9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администрации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84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C4367" w:rsidRPr="00F60605" w:rsidTr="000870E9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6 769,3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20 600,8</w:t>
            </w:r>
          </w:p>
        </w:tc>
      </w:tr>
      <w:tr w:rsidR="00BC4367" w:rsidRPr="00F60605" w:rsidTr="000870E9">
        <w:trPr>
          <w:trHeight w:val="72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16 011,7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3 158,9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4 327,0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1 510,6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750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40 588,6</w:t>
            </w:r>
          </w:p>
        </w:tc>
      </w:tr>
      <w:tr w:rsidR="00BC4367" w:rsidRPr="00F60605" w:rsidTr="000870E9">
        <w:trPr>
          <w:trHeight w:val="75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увековечивающих память погибших при защите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Отечества"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989,0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BC4367" w:rsidRPr="00F60605" w:rsidTr="000870E9">
        <w:trPr>
          <w:trHeight w:val="108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5.1.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13 441,7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29 628,8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25 006,8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8 781,1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24 071,3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23 542,8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BC4367" w:rsidRPr="00F60605" w:rsidTr="000870E9">
        <w:trPr>
          <w:trHeight w:val="529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582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570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000000" w:fill="FFFFFF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198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672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BC4367" w:rsidRPr="00F60605" w:rsidTr="000870E9">
        <w:trPr>
          <w:trHeight w:val="55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150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600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плоскостных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спортивных сооружений в сельской местности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36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420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C4367" w:rsidRPr="00F60605" w:rsidTr="000870E9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C4367" w:rsidRPr="00F60605" w:rsidTr="000870E9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C4367" w:rsidRPr="00F60605" w:rsidTr="000870E9">
        <w:trPr>
          <w:trHeight w:val="150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769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3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63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15"/>
        </w:trPr>
        <w:tc>
          <w:tcPr>
            <w:tcW w:w="2694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570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1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46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 w:val="restart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8.2.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34" w:type="dxa"/>
            <w:vMerge w:val="restart"/>
            <w:shd w:val="clear" w:color="auto" w:fill="auto"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4367" w:rsidRPr="00F60605" w:rsidTr="000870E9">
        <w:trPr>
          <w:trHeight w:val="375"/>
        </w:trPr>
        <w:tc>
          <w:tcPr>
            <w:tcW w:w="269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:rsidR="00BC4367" w:rsidRPr="00F60605" w:rsidRDefault="00BC4367" w:rsidP="00087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C4367" w:rsidRPr="00F60605" w:rsidRDefault="00BC4367" w:rsidP="00087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6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Default="00722124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63 114,7 тыс. руб., в том числе: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–14 076,0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59 964,3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13 070,9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142130" w:rsidRDefault="00142130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F60190" w:rsidRPr="00A84247" w:rsidRDefault="00F60190" w:rsidP="00F60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F60190" w:rsidRPr="00A84247" w:rsidRDefault="00F60190" w:rsidP="00F60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F60190" w:rsidRPr="00A84247" w:rsidRDefault="00F60190" w:rsidP="00F601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F60190" w:rsidRPr="00A84247" w:rsidRDefault="00F60190" w:rsidP="00F6019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60190" w:rsidRPr="00A84247" w:rsidRDefault="00F60190" w:rsidP="00F6019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472"/>
      </w:tblGrid>
      <w:tr w:rsidR="00F60190" w:rsidRPr="00A84247" w:rsidTr="00753B6A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F60190" w:rsidRPr="00A84247" w:rsidTr="00753B6A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F60190" w:rsidRPr="00A84247" w:rsidTr="00753B6A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60190" w:rsidRPr="00A84247" w:rsidTr="00753B6A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60190" w:rsidRPr="00A84247" w:rsidTr="00753B6A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F60190" w:rsidRPr="00A84247" w:rsidTr="00753B6A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F60190" w:rsidRPr="00A84247" w:rsidRDefault="00F60190" w:rsidP="00753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F60190" w:rsidRPr="00A84247" w:rsidTr="00753B6A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F60190" w:rsidRPr="00A84247" w:rsidTr="00753B6A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F60190" w:rsidRPr="00A84247" w:rsidRDefault="00F60190" w:rsidP="00753B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F60190" w:rsidRPr="00A84247" w:rsidTr="00753B6A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F60190" w:rsidRPr="00A84247" w:rsidTr="00753B6A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971,1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625,1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389,1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43,1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582,0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F60190" w:rsidRPr="00A84247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F60190" w:rsidRPr="00A84247" w:rsidTr="00753B6A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190" w:rsidRPr="00A84247" w:rsidRDefault="00F60190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190" w:rsidRPr="00A84247" w:rsidRDefault="00F60190" w:rsidP="00753B6A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F60190" w:rsidRPr="00A84247" w:rsidRDefault="00F60190" w:rsidP="00753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60190" w:rsidRPr="00A84247" w:rsidRDefault="00F60190" w:rsidP="00F60190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F60190" w:rsidRPr="00A84247" w:rsidRDefault="00F60190" w:rsidP="00F60190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F60190" w:rsidRPr="00A84247" w:rsidRDefault="00F60190" w:rsidP="00F6019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F60190" w:rsidRPr="00A84247" w:rsidRDefault="00F60190" w:rsidP="00F60190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F60190" w:rsidRPr="00A84247" w:rsidRDefault="00F60190" w:rsidP="00F6019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F60190" w:rsidRPr="00A84247" w:rsidRDefault="00F60190" w:rsidP="00F60190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</w:t>
      </w:r>
      <w:r>
        <w:rPr>
          <w:rFonts w:ascii="Times New Roman" w:hAnsi="Times New Roman" w:cs="Times New Roman"/>
          <w:sz w:val="24"/>
          <w:szCs w:val="24"/>
        </w:rPr>
        <w:t>ки реализации подпрограммы: 2024-2028</w:t>
      </w:r>
      <w:r w:rsidRPr="00A84247">
        <w:rPr>
          <w:rFonts w:ascii="Times New Roman" w:hAnsi="Times New Roman" w:cs="Times New Roman"/>
          <w:sz w:val="24"/>
          <w:szCs w:val="24"/>
        </w:rPr>
        <w:t>гг.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 xml:space="preserve"> (Актуализация документов градостроительного зонирования).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F60190" w:rsidRPr="00A84247" w:rsidRDefault="00F60190" w:rsidP="00F60190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F60190" w:rsidRPr="00A84247" w:rsidRDefault="00F60190" w:rsidP="00F60190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F60190" w:rsidRPr="00A84247" w:rsidRDefault="00F60190" w:rsidP="00F60190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F60190" w:rsidRPr="00A84247" w:rsidRDefault="00F60190" w:rsidP="00F60190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F60190" w:rsidRPr="00A84247" w:rsidRDefault="00F60190" w:rsidP="00F60190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F60190" w:rsidRPr="00A84247" w:rsidRDefault="00F60190" w:rsidP="00F60190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F60190" w:rsidRPr="00A84247" w:rsidRDefault="00F60190" w:rsidP="00F601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F60190" w:rsidRPr="00A84247" w:rsidRDefault="00F60190" w:rsidP="00F60190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F60190" w:rsidRPr="00A84247" w:rsidRDefault="00F60190" w:rsidP="00F60190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190" w:rsidRPr="00A84247" w:rsidRDefault="00F60190" w:rsidP="00F60190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F60190" w:rsidRPr="00A84247" w:rsidRDefault="00F60190" w:rsidP="00F60190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F60190" w:rsidRPr="00A84247" w:rsidRDefault="00F60190" w:rsidP="00F60190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F60190" w:rsidRPr="00A84247" w:rsidRDefault="00F60190" w:rsidP="00F60190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F60190" w:rsidRPr="00A84247" w:rsidRDefault="00F60190" w:rsidP="00F60190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F60190" w:rsidRDefault="00F60190" w:rsidP="00F60190">
      <w:pPr>
        <w:rPr>
          <w:rFonts w:ascii="Times New Roman" w:hAnsi="Times New Roman" w:cs="Times New Roman"/>
          <w:sz w:val="24"/>
          <w:szCs w:val="24"/>
        </w:rPr>
      </w:pPr>
    </w:p>
    <w:p w:rsidR="0001107A" w:rsidRDefault="0001107A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566504" w:rsidRDefault="00566504" w:rsidP="0001107A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29428,5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13 241,4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25 806,5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8 619,4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142130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14213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A27" w:rsidRDefault="00A92A27" w:rsidP="00015309">
      <w:pPr>
        <w:spacing w:after="0" w:line="240" w:lineRule="auto"/>
      </w:pPr>
      <w:r>
        <w:separator/>
      </w:r>
    </w:p>
  </w:endnote>
  <w:endnote w:type="continuationSeparator" w:id="0">
    <w:p w:rsidR="00A92A27" w:rsidRDefault="00A92A27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130" w:rsidRDefault="00142130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A27" w:rsidRDefault="00A92A27" w:rsidP="00015309">
      <w:pPr>
        <w:spacing w:after="0" w:line="240" w:lineRule="auto"/>
      </w:pPr>
      <w:r>
        <w:separator/>
      </w:r>
    </w:p>
  </w:footnote>
  <w:footnote w:type="continuationSeparator" w:id="0">
    <w:p w:rsidR="00A92A27" w:rsidRDefault="00A92A27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06C4"/>
    <w:rsid w:val="002C0713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32AE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367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E779996-1838-4079-BEFF-F87B5540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46</Pages>
  <Words>8895</Words>
  <Characters>50706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176</cp:revision>
  <cp:lastPrinted>2024-07-29T03:26:00Z</cp:lastPrinted>
  <dcterms:created xsi:type="dcterms:W3CDTF">2023-04-12T16:22:00Z</dcterms:created>
  <dcterms:modified xsi:type="dcterms:W3CDTF">2024-09-24T05:25:00Z</dcterms:modified>
</cp:coreProperties>
</file>