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page" w:horzAnchor="margin" w:tblpY="84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B55A61" w:rsidTr="004D553D">
        <w:trPr>
          <w:trHeight w:val="431"/>
        </w:trPr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АДМИНИСТРАЦИЯ</w:t>
            </w:r>
          </w:p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</w:tcPr>
          <w:p w:rsidR="00B55A61" w:rsidRDefault="00DB7BB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«16</w:t>
            </w:r>
            <w:r w:rsidR="00B55A61"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 xml:space="preserve">» </w:t>
            </w:r>
            <w:r w:rsidR="00AD31B3"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февраля 2021</w:t>
            </w:r>
            <w:r w:rsidR="00B55A61"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 xml:space="preserve"> г</w:t>
            </w:r>
            <w:r w:rsidR="00B55A61"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  <w:t xml:space="preserve">.                     </w:t>
            </w:r>
            <w:r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  <w:t xml:space="preserve">                            № 16</w:t>
            </w:r>
          </w:p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b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О плане мероприятий по оптимизации </w:t>
      </w:r>
    </w:p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и платежеспособности бюджета </w:t>
      </w:r>
    </w:p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>Писаревского м</w:t>
      </w:r>
      <w:r w:rsidR="00AD31B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в 2021</w:t>
      </w: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55A61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tabs>
          <w:tab w:val="left" w:pos="954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эффективного использования средств бюджета Писаревского муниципального об</w:t>
      </w:r>
      <w:r w:rsidR="00812EC4">
        <w:rPr>
          <w:rFonts w:ascii="Times New Roman" w:eastAsia="Times New Roman" w:hAnsi="Times New Roman"/>
          <w:sz w:val="28"/>
          <w:szCs w:val="28"/>
          <w:lang w:eastAsia="ru-RU"/>
        </w:rPr>
        <w:t>разования, руководствуясь ст.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Писаревского муниципального образования: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мероприятий по оптимизации расходов, повышению сбалансированности и платежеспособности бюджета Писаревского му</w:t>
      </w:r>
      <w:r w:rsidR="00AD31B3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на 2021 год, согласно 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№1.  </w:t>
      </w:r>
    </w:p>
    <w:p w:rsidR="00B55A61" w:rsidRDefault="00B55A61" w:rsidP="00B55A61">
      <w:pPr>
        <w:numPr>
          <w:ilvl w:val="0"/>
          <w:numId w:val="1"/>
        </w:numPr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первоочередных мероприятий по оптимизации и повышению эффективности бюджетных расходов Писаревского муниципального образования</w:t>
      </w:r>
      <w:r w:rsidR="00AD31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 согласно 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№2. 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 Писаревского сельского поселения и в информационно-телекоммуникационной сети «Интернет».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  </w:t>
      </w:r>
    </w:p>
    <w:p w:rsidR="00B55A61" w:rsidRDefault="00B55A61" w:rsidP="00B55A61">
      <w:pPr>
        <w:tabs>
          <w:tab w:val="left" w:pos="360"/>
        </w:tabs>
        <w:spacing w:after="0" w:line="240" w:lineRule="auto"/>
        <w:ind w:right="3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Писаревского</w:t>
      </w:r>
    </w:p>
    <w:p w:rsidR="004A289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А.Е. Самарин</w:t>
      </w: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Pr="004A289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891" w:rsidRDefault="004A289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к распоряжению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Писаревского сельского поселения</w:t>
      </w:r>
    </w:p>
    <w:p w:rsidR="004A2891" w:rsidRDefault="00DB7BB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16.02.2021г. № 16</w:t>
      </w:r>
      <w:bookmarkStart w:id="0" w:name="_GoBack"/>
      <w:bookmarkEnd w:id="0"/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по оптимизации расходов, повышению сбалансированности и платежеспособности бюджета Писаревского муниципального образования</w:t>
      </w:r>
    </w:p>
    <w:p w:rsidR="00B55A61" w:rsidRDefault="00AD31B3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</w:t>
      </w:r>
      <w:r w:rsidR="00B55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5"/>
        <w:gridCol w:w="3907"/>
        <w:gridCol w:w="1985"/>
      </w:tblGrid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на обеспечение выполнения функций казенных учреждений доходов, полученных от оказания платных услуг после уплаты налогов и сборов, предусмотренных законодательством о налогах и </w:t>
            </w:r>
          </w:p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установленного норматива формирования расходов на содержание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бухучета и отчетности –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Недопущение увеличения численности муниципальных служащих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установление расходных обязательств не связанных с решением вопросов, отнесенных к полномочиям органов местного самоуправления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по реализации энергосберегающих мероприятий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инвентаризации муниципального имущества в целях его эффективного использования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отчета реализации первоочередных мероприятий по оптимизации и повышению эффективности бюджетных расходов Писаревского сельского поселения на 2019 год и предоставлении его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до 10 числа месяца, следующего за отчетным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предложений и рекомендаций по оптимизации расходов, повышению сбалансированности и платежеспособности бюджета Писаревского муниципального образования на 2019 год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AD31B3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 декабря 2021</w:t>
            </w:r>
            <w:r w:rsidR="00B5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4C5" w:rsidRDefault="00E874C5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874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EC4" w:rsidRDefault="00812EC4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 распоряжению администрации Писаревского сельского поселения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FF1" w:rsidRDefault="00CF4FF1" w:rsidP="00CF4F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оптимизации расходов, повышению сбалансированности и платежеспособности бюджета Писаревского муниципального образования на 2021 год</w:t>
      </w:r>
    </w:p>
    <w:p w:rsidR="00E874C5" w:rsidRDefault="00E874C5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17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613"/>
        <w:gridCol w:w="3519"/>
        <w:gridCol w:w="1767"/>
        <w:gridCol w:w="1802"/>
        <w:gridCol w:w="1122"/>
        <w:gridCol w:w="832"/>
        <w:gridCol w:w="1376"/>
        <w:gridCol w:w="713"/>
        <w:gridCol w:w="781"/>
        <w:gridCol w:w="1376"/>
        <w:gridCol w:w="816"/>
      </w:tblGrid>
      <w:tr w:rsidR="00E874C5" w:rsidTr="00E874C5">
        <w:trPr>
          <w:trHeight w:val="23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4C5" w:rsidTr="00E874C5">
        <w:trPr>
          <w:trHeight w:val="981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Планируемая сумма экономического эффекта в год,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Полученный экономический эффект по состоянию на 01.10.2019г., тыс.руб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 w:rsidP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Писаревского сельского поселения 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МКУК "КДЦ Писаревского МО"</w:t>
            </w:r>
          </w:p>
        </w:tc>
      </w:tr>
      <w:tr w:rsidR="00E874C5" w:rsidTr="00E874C5">
        <w:trPr>
          <w:trHeight w:val="489"/>
        </w:trPr>
        <w:tc>
          <w:tcPr>
            <w:tcW w:w="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874C5" w:rsidTr="00E874C5">
        <w:trPr>
          <w:trHeight w:val="437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ОРГАНИЗАЦИОННО-ШТАТНЫЕ МЕРОПРИЯТИЯ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874C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874C5" w:rsidTr="00E874C5">
        <w:trPr>
          <w:trHeight w:val="437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Восстановление средств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соц.страх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 б/листы)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  <w:r w:rsidR="00E874C5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874C5" w:rsidTr="00E874C5">
        <w:trPr>
          <w:trHeight w:val="657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ОРГАНИЗАЦИЯ РАБОТЫ ПО ДЕТАЛИЗАЦИИ ОТДЕЛЬНЫХ ВИДОВ РАСХОДОВ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 w:rsidP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CF4FF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874C5" w:rsidTr="00E874C5">
        <w:trPr>
          <w:trHeight w:val="437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Сокращение расходов по электроэнергии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874C5" w:rsidTr="00E874C5">
        <w:trPr>
          <w:trHeight w:val="672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Сокращение расходов за счет бюджетных ассигнований (закупки)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4C5" w:rsidRDefault="00CF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74C5" w:rsidRDefault="00E8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874C5" w:rsidRDefault="00E874C5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Писаревского сельского поселения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А.Е. Самарин</w:t>
      </w: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Default="00CF4FF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FF1" w:rsidRPr="00CF4FF1" w:rsidRDefault="00CF4FF1" w:rsidP="00CF4F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F4FF1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ведущий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 </w:t>
      </w:r>
      <w:r w:rsidRPr="00CF4FF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F4FF1">
        <w:rPr>
          <w:rFonts w:ascii="Times New Roman" w:eastAsia="Times New Roman" w:hAnsi="Times New Roman"/>
          <w:sz w:val="20"/>
          <w:szCs w:val="20"/>
          <w:lang w:eastAsia="ru-RU"/>
        </w:rPr>
        <w:t>Шупикова</w:t>
      </w:r>
      <w:proofErr w:type="spellEnd"/>
      <w:proofErr w:type="gramEnd"/>
      <w:r w:rsidRPr="00CF4FF1">
        <w:rPr>
          <w:rFonts w:ascii="Times New Roman" w:eastAsia="Times New Roman" w:hAnsi="Times New Roman"/>
          <w:sz w:val="20"/>
          <w:szCs w:val="20"/>
          <w:lang w:eastAsia="ru-RU"/>
        </w:rPr>
        <w:t xml:space="preserve"> В.И. т. 49033</w:t>
      </w:r>
    </w:p>
    <w:sectPr w:rsidR="00CF4FF1" w:rsidRPr="00CF4FF1" w:rsidSect="00E874C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5758"/>
    <w:multiLevelType w:val="hybridMultilevel"/>
    <w:tmpl w:val="22D4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9"/>
    <w:rsid w:val="001C6609"/>
    <w:rsid w:val="004A2891"/>
    <w:rsid w:val="005E2DA2"/>
    <w:rsid w:val="006C5E73"/>
    <w:rsid w:val="00812EC4"/>
    <w:rsid w:val="00AD31B3"/>
    <w:rsid w:val="00B466E4"/>
    <w:rsid w:val="00B55A61"/>
    <w:rsid w:val="00CF4FF1"/>
    <w:rsid w:val="00DB7BB1"/>
    <w:rsid w:val="00E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6C00-D5B8-45DD-B169-A0DF0B6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2021-02-04T06:02:00Z</cp:lastPrinted>
  <dcterms:created xsi:type="dcterms:W3CDTF">2018-12-29T03:19:00Z</dcterms:created>
  <dcterms:modified xsi:type="dcterms:W3CDTF">2021-03-01T02:47:00Z</dcterms:modified>
</cp:coreProperties>
</file>