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>
      <w:pPr>
        <w:pStyle w:val="Oaieaaaa"/>
        <w:ind w:right="-1" w:firstLine="709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Oaieaaaa"/>
        <w:ind w:right="-1" w:hanging="0"/>
        <w:jc w:val="left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«_29_»_12._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t>202</w:t>
      </w:r>
      <w:r>
        <w:rPr>
          <w:rFonts w:ascii="Times New Roman" w:hAnsi="Times New Roman"/>
          <w:b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spacing w:val="20"/>
          <w:sz w:val="28"/>
          <w:szCs w:val="28"/>
        </w:rPr>
        <w:t>г.                                                  № __179_</w:t>
      </w:r>
    </w:p>
    <w:p>
      <w:pPr>
        <w:pStyle w:val="13"/>
        <w:jc w:val="center"/>
        <w:rPr/>
      </w:pPr>
      <w:r>
        <w:rPr/>
        <w:t>п. 4-е отделение ГСС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Писаревского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Писаревского сельского поселения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осуществлении бюджетных инвестиций для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культурно-досугового центра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Писаревского муниципального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16.03.2018г. № 25-А (с изменениями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31.10.2018г. № 124-А, от 10.01.2019г. № 2,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12.12.2019г. № 170, от 10.06.2020г. № 80-А)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ст.79 бюджетного кодекса Российской Федерации, Федерального закона от 25.02.1999 г. от 25.02.1999г. № 39-ФЗ «Об инвестиционной деятельности в Российской Федерации», постановлением администрации Писаревского сельского поселения № 19 от 02.03.2018г.  «Об утверждении порядка принятия решения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Писаревского сельского поселения», руководствуясь пунктом 12 ст.6 Устава Писаревского муниципального образования,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BatangChe" w:ascii="Times New Roman" w:hAnsi="Times New Roman"/>
          <w:sz w:val="28"/>
          <w:szCs w:val="28"/>
        </w:rPr>
        <w:t>1. Внести в постановление Администрации Писаревского сельского поселения от 16.03.2018г. № 25А (с изменениями от 31.10.2018г.№124-А, от 10.01.2019г. №2, от</w:t>
      </w:r>
      <w:r>
        <w:rPr>
          <w:rFonts w:ascii="Times New Roman" w:hAnsi="Times New Roman"/>
          <w:sz w:val="28"/>
          <w:szCs w:val="28"/>
        </w:rPr>
        <w:t xml:space="preserve"> 12.12.2019г. №170, от 10.06.2020г.</w:t>
      </w:r>
      <w:r>
        <w:rPr>
          <w:rFonts w:eastAsia="BatangChe"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осуществлении бюджетных инвестиций для строительства культурно-досугового центра Писаревского муниципального образования» </w:t>
      </w:r>
      <w:r>
        <w:rPr>
          <w:rFonts w:eastAsia="BatangChe" w:ascii="Times New Roman" w:hAnsi="Times New Roman"/>
          <w:sz w:val="28"/>
          <w:szCs w:val="28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  <w:t>1.1.  пункт 8 изложить в следующей редакции: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  <w:t>- «Распределение сметной стоимости объекта и общего предельного объема бюджетных инвестиций по годам реализации инвестиционного проекта»:</w:t>
      </w:r>
    </w:p>
    <w:tbl>
      <w:tblPr>
        <w:tblStyle w:val="a3"/>
        <w:tblW w:w="15667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2126"/>
        <w:gridCol w:w="1560"/>
        <w:gridCol w:w="1133"/>
        <w:gridCol w:w="1277"/>
        <w:gridCol w:w="1275"/>
        <w:gridCol w:w="1329"/>
        <w:gridCol w:w="1275"/>
        <w:gridCol w:w="1250"/>
        <w:gridCol w:w="1302"/>
        <w:gridCol w:w="1296"/>
        <w:gridCol w:w="1276"/>
      </w:tblGrid>
      <w:tr>
        <w:trPr>
          <w:trHeight w:val="106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 xml:space="preserve">                № </w:t>
            </w:r>
            <w:r>
              <w:rPr>
                <w:rFonts w:eastAsia="BatangChe" w:cs="Courier New" w:ascii="Courier New" w:hAnsi="Courier New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693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2018г</w:t>
            </w:r>
          </w:p>
        </w:tc>
        <w:tc>
          <w:tcPr>
            <w:tcW w:w="255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2019г</w:t>
            </w:r>
          </w:p>
        </w:tc>
        <w:tc>
          <w:tcPr>
            <w:tcW w:w="260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2020г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2021г</w:t>
            </w:r>
          </w:p>
        </w:tc>
        <w:tc>
          <w:tcPr>
            <w:tcW w:w="257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2022г</w:t>
            </w:r>
          </w:p>
        </w:tc>
      </w:tr>
      <w:tr>
        <w:trPr>
          <w:trHeight w:val="248" w:hRule="atLeast"/>
        </w:trPr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Местный бюджет (руб.)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Местный бюджет (руб.)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Местный бюджет (руб.)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Местный бюджет (руб.)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Местный бюджет (руб.)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Областной бюджет (руб.)</w:t>
            </w:r>
          </w:p>
        </w:tc>
      </w:tr>
      <w:tr>
        <w:trPr>
          <w:trHeight w:val="248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Выполнение проектно-изыскательских работ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1 290 000,0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</w:tr>
      <w:tr>
        <w:trPr>
          <w:trHeight w:val="49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Оказание экспертных услуг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23 600,0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Корректировка проектной документации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349 000,0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Экспертиза проектной документации и материалов инженерных изысканий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689 555,7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  <w:highlight w:val="yellow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</w:tr>
      <w:tr>
        <w:trPr>
          <w:trHeight w:val="2404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506 082,36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16 363 917,63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  <w:t>960 888,03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  <w:t>31 069 472,11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  <w:t>922 500,0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color w:val="FF0000"/>
                <w:sz w:val="18"/>
                <w:szCs w:val="18"/>
              </w:rPr>
              <w:t>29 825 700,0</w:t>
            </w:r>
          </w:p>
        </w:tc>
      </w:tr>
      <w:tr>
        <w:trPr>
          <w:trHeight w:val="35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 xml:space="preserve">Выполнение расчета начальной цены при осуществлении закупки на выполнение подрядных работ по строительству объекта «Строительство культурно-досугового центра Писаревского муниципального образования по адресу: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Иркутская область, Тулунский район, п. 4-е отделение Государственной селекционной станции, ул. Чапаева, 2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5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Стройконтроль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4 039,06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sz w:val="18"/>
                <w:szCs w:val="18"/>
              </w:rPr>
              <w:t>130 601,20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9 906,24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320 309,65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color w:val="FF0000"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color w:val="FF0000"/>
                <w:sz w:val="18"/>
                <w:szCs w:val="18"/>
              </w:rPr>
              <w:t>0</w:t>
            </w:r>
          </w:p>
        </w:tc>
      </w:tr>
      <w:tr>
        <w:trPr>
          <w:trHeight w:val="93" w:hRule="atLeast"/>
        </w:trPr>
        <w:tc>
          <w:tcPr>
            <w:tcW w:w="269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20"/>
                <w:szCs w:val="20"/>
              </w:rPr>
            </w:pPr>
            <w:r>
              <w:rPr>
                <w:rFonts w:eastAsia="BatangChe" w:cs="Courier New" w:ascii="Courier New" w:hAnsi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b/>
                <w:sz w:val="18"/>
                <w:szCs w:val="18"/>
              </w:rPr>
              <w:t>1 662 600,0</w:t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b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b/>
                <w:sz w:val="18"/>
                <w:szCs w:val="18"/>
              </w:rPr>
              <w:t>689555,7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eastAsia="BatangChe" w:cs="Courier New"/>
                <w:b/>
                <w:b/>
                <w:sz w:val="18"/>
                <w:szCs w:val="18"/>
              </w:rPr>
            </w:pPr>
            <w:r>
              <w:rPr>
                <w:rFonts w:eastAsia="BatangChe" w:cs="Courier New" w:ascii="Courier New" w:hAnsi="Courier New"/>
                <w:b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sz w:val="18"/>
                <w:szCs w:val="18"/>
              </w:rPr>
              <w:t>525 121,42</w:t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sz w:val="18"/>
                <w:szCs w:val="18"/>
              </w:rPr>
              <w:t>16 494 518,83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color w:val="FF0000"/>
                <w:sz w:val="18"/>
                <w:szCs w:val="18"/>
              </w:rPr>
              <w:t>970 794,27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color w:val="FF0000"/>
                <w:sz w:val="18"/>
                <w:szCs w:val="18"/>
              </w:rPr>
              <w:t>31 389 781,76</w:t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color w:val="FF0000"/>
                <w:sz w:val="18"/>
                <w:szCs w:val="18"/>
              </w:rPr>
              <w:t>922 500,0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b/>
                <w:color w:val="FF0000"/>
                <w:sz w:val="18"/>
                <w:szCs w:val="18"/>
              </w:rPr>
            </w:pPr>
            <w:r>
              <w:rPr>
                <w:rFonts w:eastAsia="BatangChe" w:ascii="Times New Roman" w:hAnsi="Times New Roman"/>
                <w:b/>
                <w:color w:val="FF0000"/>
                <w:sz w:val="18"/>
                <w:szCs w:val="18"/>
              </w:rPr>
              <w:t>29 825 700,0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BatangChe" w:cs="Arial"/>
          <w:sz w:val="24"/>
          <w:szCs w:val="24"/>
        </w:rPr>
      </w:pPr>
      <w:r>
        <w:rPr>
          <w:rFonts w:eastAsia="BatangChe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BatangChe" w:cs="Arial"/>
          <w:sz w:val="24"/>
          <w:szCs w:val="24"/>
        </w:rPr>
      </w:pPr>
      <w:r>
        <w:rPr>
          <w:rFonts w:eastAsia="BatangChe" w:ascii="Times New Roman" w:hAnsi="Times New Roman"/>
          <w:sz w:val="28"/>
          <w:szCs w:val="28"/>
        </w:rPr>
        <w:t>Глава Писаревского сельского поселения</w:t>
        <w:tab/>
        <w:tab/>
        <w:tab/>
        <w:tab/>
        <w:tab/>
        <w:tab/>
        <w:t>А.Е. Самарин</w:t>
      </w:r>
    </w:p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eastAsia="BatangChe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Che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1100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87bf5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Oaieaaaa" w:customStyle="1">
    <w:name w:val="Oaiea (aa?a)"/>
    <w:basedOn w:val="Normal"/>
    <w:qFormat/>
    <w:rsid w:val="00df1100"/>
    <w:pPr>
      <w:spacing w:lineRule="auto" w:line="240" w:before="0" w:after="0"/>
      <w:jc w:val="right"/>
    </w:pPr>
    <w:rPr>
      <w:rFonts w:ascii="Century Schoolbook" w:hAnsi="Century Schoolbook" w:eastAsia="Times New Roman"/>
      <w:sz w:val="24"/>
      <w:szCs w:val="20"/>
      <w:lang w:eastAsia="ru-RU"/>
    </w:rPr>
  </w:style>
  <w:style w:type="paragraph" w:styleId="13" w:customStyle="1">
    <w:name w:val="Обычный + 13 пт"/>
    <w:basedOn w:val="Normal"/>
    <w:uiPriority w:val="99"/>
    <w:qFormat/>
    <w:rsid w:val="00df1100"/>
    <w:pPr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87b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f110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LibreOffice/6.4.7.2$Linux_X86_64 LibreOffice_project/40$Build-2</Application>
  <Pages>4</Pages>
  <Words>462</Words>
  <Characters>3005</Characters>
  <CharactersWithSpaces>3415</CharactersWithSpaces>
  <Paragraphs>136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2020-07-08T01:58:00Z</dcterms:created>
  <dc:creator>Пользователь</dc:creator>
  <dc:description/>
  <dc:language>ru-RU</dc:language>
  <cp:lastModifiedBy/>
  <cp:lastPrinted>2022-02-28T03:42:00Z</cp:lastPrinted>
  <dcterms:modified xsi:type="dcterms:W3CDTF">2022-03-21T22:08:11Z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